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8" w:rsidRPr="0068287B" w:rsidRDefault="00891FF0" w:rsidP="00682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WFG </w:t>
      </w:r>
      <w:bookmarkStart w:id="0" w:name="_GoBack"/>
      <w:bookmarkEnd w:id="0"/>
      <w:r w:rsidR="0068287B" w:rsidRPr="0068287B">
        <w:rPr>
          <w:b/>
          <w:sz w:val="28"/>
          <w:szCs w:val="28"/>
        </w:rPr>
        <w:t>UNDERWR</w:t>
      </w:r>
      <w:r w:rsidR="0068287B">
        <w:rPr>
          <w:b/>
          <w:sz w:val="28"/>
          <w:szCs w:val="28"/>
        </w:rPr>
        <w:t>I</w:t>
      </w:r>
      <w:r w:rsidR="0068287B" w:rsidRPr="0068287B">
        <w:rPr>
          <w:b/>
          <w:sz w:val="28"/>
          <w:szCs w:val="28"/>
        </w:rPr>
        <w:t>TING BULLETIN</w:t>
      </w:r>
    </w:p>
    <w:p w:rsidR="0068287B" w:rsidRPr="009D7833" w:rsidRDefault="0068287B">
      <w:pPr>
        <w:rPr>
          <w:b/>
          <w:sz w:val="24"/>
          <w:szCs w:val="24"/>
        </w:rPr>
      </w:pPr>
      <w:r w:rsidRPr="009D7833">
        <w:rPr>
          <w:b/>
          <w:sz w:val="24"/>
          <w:szCs w:val="24"/>
        </w:rPr>
        <w:t>Bulletin No.:  Or/</w:t>
      </w:r>
      <w:proofErr w:type="spellStart"/>
      <w:proofErr w:type="gramStart"/>
      <w:r w:rsidRPr="009D7833">
        <w:rPr>
          <w:b/>
          <w:sz w:val="24"/>
          <w:szCs w:val="24"/>
        </w:rPr>
        <w:t>Wa</w:t>
      </w:r>
      <w:proofErr w:type="spellEnd"/>
      <w:proofErr w:type="gramEnd"/>
      <w:r w:rsidRPr="009D7833">
        <w:rPr>
          <w:b/>
          <w:sz w:val="24"/>
          <w:szCs w:val="24"/>
        </w:rPr>
        <w:t xml:space="preserve"> 13-001</w:t>
      </w:r>
      <w:r w:rsidR="002411D3">
        <w:rPr>
          <w:b/>
          <w:sz w:val="24"/>
          <w:szCs w:val="24"/>
        </w:rPr>
        <w:t xml:space="preserve"> MFT</w:t>
      </w:r>
    </w:p>
    <w:p w:rsidR="0068287B" w:rsidRPr="00FB4B19" w:rsidRDefault="006D2C9B">
      <w:pPr>
        <w:rPr>
          <w:b/>
          <w:sz w:val="28"/>
          <w:szCs w:val="28"/>
        </w:rPr>
      </w:pPr>
      <w:r w:rsidRPr="00FB4B19">
        <w:rPr>
          <w:b/>
          <w:sz w:val="28"/>
          <w:szCs w:val="28"/>
        </w:rPr>
        <w:t>Yes, Some Major</w:t>
      </w:r>
      <w:r w:rsidR="005A1607" w:rsidRPr="00FB4B19">
        <w:rPr>
          <w:b/>
          <w:sz w:val="28"/>
          <w:szCs w:val="28"/>
        </w:rPr>
        <w:t xml:space="preserve"> </w:t>
      </w:r>
      <w:r w:rsidR="0068287B" w:rsidRPr="00FB4B19">
        <w:rPr>
          <w:b/>
          <w:sz w:val="28"/>
          <w:szCs w:val="28"/>
        </w:rPr>
        <w:t xml:space="preserve">Lenders </w:t>
      </w:r>
      <w:r w:rsidR="005A1607" w:rsidRPr="00FB4B19">
        <w:rPr>
          <w:b/>
          <w:sz w:val="28"/>
          <w:szCs w:val="28"/>
          <w:u w:val="single"/>
        </w:rPr>
        <w:t>are</w:t>
      </w:r>
      <w:r w:rsidR="005A1607" w:rsidRPr="00FB4B19">
        <w:rPr>
          <w:b/>
          <w:sz w:val="28"/>
          <w:szCs w:val="28"/>
        </w:rPr>
        <w:t xml:space="preserve"> </w:t>
      </w:r>
      <w:r w:rsidR="0068287B" w:rsidRPr="00FB4B19">
        <w:rPr>
          <w:b/>
          <w:sz w:val="28"/>
          <w:szCs w:val="28"/>
        </w:rPr>
        <w:t xml:space="preserve">Forgiving </w:t>
      </w:r>
      <w:r w:rsidR="005A1607" w:rsidRPr="00FB4B19">
        <w:rPr>
          <w:b/>
          <w:sz w:val="28"/>
          <w:szCs w:val="28"/>
        </w:rPr>
        <w:t xml:space="preserve">Second Deeds of Trust </w:t>
      </w:r>
    </w:p>
    <w:p w:rsidR="0068287B" w:rsidRPr="002411D3" w:rsidRDefault="0068287B">
      <w:pPr>
        <w:rPr>
          <w:b/>
        </w:rPr>
      </w:pPr>
      <w:r w:rsidRPr="002411D3">
        <w:rPr>
          <w:b/>
        </w:rPr>
        <w:t xml:space="preserve">BACKGROUND: </w:t>
      </w:r>
    </w:p>
    <w:p w:rsidR="00C03F6A" w:rsidRDefault="0068287B">
      <w:r>
        <w:t>In</w:t>
      </w:r>
      <w:r w:rsidR="004D4169">
        <w:t xml:space="preserve"> the early months of 2012</w:t>
      </w:r>
      <w:r>
        <w:t xml:space="preserve">, five banks entered into a </w:t>
      </w:r>
      <w:r w:rsidR="00C03F6A">
        <w:t xml:space="preserve">historic </w:t>
      </w:r>
      <w:r>
        <w:t>$8.5 M settlement a</w:t>
      </w:r>
      <w:r w:rsidR="00C03F6A">
        <w:t xml:space="preserve">greement </w:t>
      </w:r>
      <w:r>
        <w:t>with state and federa</w:t>
      </w:r>
      <w:r w:rsidR="00C03F6A">
        <w:t xml:space="preserve">l </w:t>
      </w:r>
      <w:r>
        <w:t>regulators regarding claims of foreclosu</w:t>
      </w:r>
      <w:r w:rsidR="00C03F6A">
        <w:t>re abuse</w:t>
      </w:r>
      <w:r>
        <w:t xml:space="preserve">.   </w:t>
      </w:r>
      <w:r w:rsidR="004D4169">
        <w:t xml:space="preserve">Alleged improprieties </w:t>
      </w:r>
      <w:r w:rsidR="00D53D37">
        <w:t>include</w:t>
      </w:r>
      <w:r w:rsidR="004D4169">
        <w:t xml:space="preserve"> </w:t>
      </w:r>
      <w:r w:rsidR="00C03F6A">
        <w:t>a) the signing of foreclosure paperwork outside the presence of a notary and without actual knowledge of the trust or falsity of representations made in that paperwork, aka “</w:t>
      </w:r>
      <w:proofErr w:type="spellStart"/>
      <w:r w:rsidR="00C03F6A">
        <w:t>robo</w:t>
      </w:r>
      <w:proofErr w:type="spellEnd"/>
      <w:r w:rsidR="00B015FA">
        <w:t>-</w:t>
      </w:r>
      <w:r w:rsidR="00C03F6A">
        <w:t>signing”, and b) the “dual tracking” of borrowers, so that</w:t>
      </w:r>
      <w:r w:rsidR="005A1607">
        <w:t xml:space="preserve"> even while</w:t>
      </w:r>
      <w:r w:rsidR="00C03F6A">
        <w:t xml:space="preserve"> </w:t>
      </w:r>
      <w:r w:rsidR="005A1607">
        <w:t>borrowers were</w:t>
      </w:r>
      <w:r w:rsidR="00C03F6A">
        <w:t xml:space="preserve"> pursuing mortgage modifications </w:t>
      </w:r>
      <w:r w:rsidR="005A1607">
        <w:t xml:space="preserve">with one department of their bank, another department </w:t>
      </w:r>
      <w:r w:rsidR="00AB1F77">
        <w:t xml:space="preserve">was proceeding with a </w:t>
      </w:r>
      <w:r w:rsidR="002411D3">
        <w:t>f</w:t>
      </w:r>
      <w:r w:rsidR="00AB1F77">
        <w:t>oreclosure.</w:t>
      </w:r>
      <w:r w:rsidR="00C03F6A">
        <w:t xml:space="preserve"> </w:t>
      </w:r>
    </w:p>
    <w:p w:rsidR="0068287B" w:rsidRPr="0068287B" w:rsidRDefault="0068287B">
      <w:pPr>
        <w:rPr>
          <w:sz w:val="24"/>
          <w:szCs w:val="24"/>
        </w:rPr>
      </w:pPr>
      <w:r>
        <w:t>The fiv</w:t>
      </w:r>
      <w:r w:rsidR="004D4169">
        <w:t>e major lenders who entered into this</w:t>
      </w:r>
      <w:r>
        <w:t xml:space="preserve"> settlement agreement are</w:t>
      </w:r>
      <w:r w:rsidR="00C03F6A">
        <w:t xml:space="preserve">:  Wells Fargo, Bank of America, </w:t>
      </w:r>
      <w:proofErr w:type="gramStart"/>
      <w:r>
        <w:t>J.P</w:t>
      </w:r>
      <w:proofErr w:type="gramEnd"/>
      <w:r>
        <w:t xml:space="preserve">.  </w:t>
      </w:r>
      <w:proofErr w:type="gramStart"/>
      <w:r>
        <w:t>Morgan Chase,</w:t>
      </w:r>
      <w:r w:rsidR="00C03F6A">
        <w:t xml:space="preserve"> </w:t>
      </w:r>
      <w:r>
        <w:t xml:space="preserve">CitiMortgage, and </w:t>
      </w:r>
      <w:r w:rsidR="002411D3">
        <w:t>Ally/</w:t>
      </w:r>
      <w:r>
        <w:t xml:space="preserve">GMAC (whose loans have largely been transferred to </w:t>
      </w:r>
      <w:proofErr w:type="spellStart"/>
      <w:r>
        <w:t>Ocwen</w:t>
      </w:r>
      <w:proofErr w:type="spellEnd"/>
      <w:r>
        <w:t xml:space="preserve"> Mortgage or </w:t>
      </w:r>
      <w:proofErr w:type="spellStart"/>
      <w:r>
        <w:t>Green</w:t>
      </w:r>
      <w:r w:rsidR="00C03F6A">
        <w:t>T</w:t>
      </w:r>
      <w:r>
        <w:t>ree</w:t>
      </w:r>
      <w:proofErr w:type="spellEnd"/>
      <w:r>
        <w:t xml:space="preserve"> Servicing).</w:t>
      </w:r>
      <w:proofErr w:type="gramEnd"/>
      <w:r>
        <w:t xml:space="preserve">   </w:t>
      </w:r>
    </w:p>
    <w:p w:rsidR="0068287B" w:rsidRPr="002411D3" w:rsidRDefault="00C03F6A">
      <w:pPr>
        <w:rPr>
          <w:b/>
        </w:rPr>
      </w:pPr>
      <w:r w:rsidRPr="002411D3">
        <w:rPr>
          <w:b/>
        </w:rPr>
        <w:t>NEW TR</w:t>
      </w:r>
      <w:r w:rsidR="002411D3" w:rsidRPr="002411D3">
        <w:rPr>
          <w:b/>
        </w:rPr>
        <w:t>END-Debt Forgiveness, especially on Seconds</w:t>
      </w:r>
    </w:p>
    <w:p w:rsidR="00C03F6A" w:rsidRDefault="00AB1F77">
      <w:r>
        <w:t>I</w:t>
      </w:r>
      <w:r w:rsidR="009D7833">
        <w:t xml:space="preserve">ncluded in the </w:t>
      </w:r>
      <w:r>
        <w:t xml:space="preserve">National Mortgage Settlement </w:t>
      </w:r>
      <w:r w:rsidR="00F067B2">
        <w:t>are provisions</w:t>
      </w:r>
      <w:r w:rsidR="002411D3">
        <w:t xml:space="preserve"> that</w:t>
      </w:r>
      <w:r w:rsidR="00F067B2">
        <w:t xml:space="preserve"> give</w:t>
      </w:r>
      <w:r w:rsidR="00F067B2">
        <w:t xml:space="preserve"> a </w:t>
      </w:r>
      <w:r w:rsidR="00F067B2">
        <w:t xml:space="preserve">lender monetary </w:t>
      </w:r>
      <w:r w:rsidR="00F067B2">
        <w:t>credit against it</w:t>
      </w:r>
      <w:r w:rsidR="00F067B2">
        <w:t>s</w:t>
      </w:r>
      <w:r w:rsidR="00F067B2">
        <w:t xml:space="preserve"> obligations</w:t>
      </w:r>
      <w:r w:rsidR="00F067B2">
        <w:t xml:space="preserve"> </w:t>
      </w:r>
      <w:r>
        <w:t xml:space="preserve">for </w:t>
      </w:r>
      <w:r w:rsidR="009D7833">
        <w:t>each dollar of first or second mortgage indebtedness a lender forgives</w:t>
      </w:r>
      <w:r w:rsidR="00F067B2">
        <w:t>.</w:t>
      </w:r>
      <w:r w:rsidR="009D7833">
        <w:t xml:space="preserve"> </w:t>
      </w:r>
      <w:r w:rsidR="002411D3">
        <w:t>According to a recent artic</w:t>
      </w:r>
      <w:r>
        <w:t>le in the New York Times T</w:t>
      </w:r>
      <w:r w:rsidR="009D7833">
        <w:t xml:space="preserve">imes “[t]he five banks covered under last year’s settlement are wiping out second mortgages in record numbers.”  </w:t>
      </w:r>
    </w:p>
    <w:p w:rsidR="00AB1F77" w:rsidRDefault="00AB1F77">
      <w:r>
        <w:t>Several of our</w:t>
      </w:r>
      <w:r w:rsidR="005A1607">
        <w:t xml:space="preserve"> escrow offices have </w:t>
      </w:r>
      <w:r>
        <w:t xml:space="preserve">begun to see </w:t>
      </w:r>
      <w:r w:rsidR="00B97D5D">
        <w:t xml:space="preserve">“debt forgiveness” </w:t>
      </w:r>
      <w:r>
        <w:t>letters</w:t>
      </w:r>
      <w:r w:rsidR="00B97D5D">
        <w:t xml:space="preserve"> </w:t>
      </w:r>
      <w:r>
        <w:t xml:space="preserve">like the one </w:t>
      </w:r>
      <w:r w:rsidR="002411D3">
        <w:t xml:space="preserve">below: </w:t>
      </w:r>
    </w:p>
    <w:p w:rsidR="006D2C9B" w:rsidRDefault="00015D5B" w:rsidP="00015D5B">
      <w:pPr>
        <w:rPr>
          <w:rFonts w:ascii="Verdana" w:hAnsi="Verdana"/>
          <w:i/>
          <w:color w:val="0070C0"/>
          <w:sz w:val="20"/>
          <w:szCs w:val="20"/>
          <w:shd w:val="clear" w:color="auto" w:fill="FFFFFF"/>
        </w:rPr>
      </w:pPr>
      <w:r w:rsidRPr="00015D5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"We are pleased to inform you that we have approved your home equity</w:t>
      </w:r>
      <w:r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 xml:space="preserve"> </w:t>
      </w:r>
      <w:r w:rsidRPr="00015D5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account for participation in a principle forgiveness program offered as a result of the Dep</w:t>
      </w:r>
      <w:r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ar</w:t>
      </w:r>
      <w:r w:rsidRPr="00015D5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t</w:t>
      </w:r>
      <w:r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ment</w:t>
      </w:r>
      <w:r w:rsidRPr="00015D5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 xml:space="preserve"> of Justice and State Attorneys General global settlement with major service</w:t>
      </w:r>
      <w:r w:rsidR="006D2C9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r</w:t>
      </w:r>
      <w:r w:rsidRPr="00015D5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 xml:space="preserve">s, including </w:t>
      </w:r>
      <w:r w:rsidR="006D2C9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[BANK].</w:t>
      </w:r>
    </w:p>
    <w:p w:rsidR="00015D5B" w:rsidRPr="00015D5B" w:rsidRDefault="00015D5B" w:rsidP="00015D5B">
      <w:pPr>
        <w:rPr>
          <w:i/>
          <w:color w:val="0070C0"/>
        </w:rPr>
      </w:pPr>
      <w:r w:rsidRPr="00015D5B">
        <w:rPr>
          <w:rFonts w:ascii="Verdana" w:hAnsi="Verdana"/>
          <w:b/>
          <w:bCs/>
          <w:i/>
          <w:color w:val="0070C0"/>
          <w:sz w:val="20"/>
          <w:szCs w:val="20"/>
          <w:shd w:val="clear" w:color="auto" w:fill="FFFFFF"/>
        </w:rPr>
        <w:t>"You will receive a full forgiveness of the remaining principle balance of $51K on your home equity account.</w:t>
      </w:r>
      <w:r w:rsidRPr="00015D5B">
        <w:rPr>
          <w:rStyle w:val="apple-converted-space"/>
          <w:rFonts w:ascii="Verdana" w:hAnsi="Verdana"/>
          <w:b/>
          <w:bCs/>
          <w:i/>
          <w:color w:val="0070C0"/>
          <w:sz w:val="20"/>
          <w:szCs w:val="20"/>
          <w:shd w:val="clear" w:color="auto" w:fill="FFFFFF"/>
        </w:rPr>
        <w:t> </w:t>
      </w:r>
      <w:r w:rsidRPr="00015D5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Then means that you no longer owe this amount, and we will also waive any outstanding fees and interest accrued."</w:t>
      </w:r>
      <w:r w:rsidRPr="00015D5B">
        <w:rPr>
          <w:rFonts w:ascii="Verdana" w:hAnsi="Verdana"/>
          <w:i/>
          <w:color w:val="0070C0"/>
          <w:sz w:val="20"/>
          <w:szCs w:val="20"/>
        </w:rPr>
        <w:br/>
      </w:r>
      <w:r w:rsidRPr="00015D5B">
        <w:rPr>
          <w:rFonts w:ascii="Verdana" w:hAnsi="Verdana"/>
          <w:i/>
          <w:color w:val="0070C0"/>
          <w:sz w:val="20"/>
          <w:szCs w:val="20"/>
        </w:rPr>
        <w:br/>
      </w:r>
      <w:r w:rsidRPr="00015D5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"Your acceptance of this offer is automatic unless we hear from you".</w:t>
      </w:r>
      <w:r w:rsidRPr="00015D5B">
        <w:rPr>
          <w:rFonts w:ascii="Verdana" w:hAnsi="Verdana"/>
          <w:i/>
          <w:color w:val="0070C0"/>
          <w:sz w:val="20"/>
          <w:szCs w:val="20"/>
        </w:rPr>
        <w:br/>
      </w:r>
      <w:r w:rsidRPr="00015D5B">
        <w:rPr>
          <w:rFonts w:ascii="Verdana" w:hAnsi="Verdana"/>
          <w:i/>
          <w:color w:val="0070C0"/>
          <w:sz w:val="20"/>
          <w:szCs w:val="20"/>
        </w:rPr>
        <w:br/>
      </w:r>
      <w:r w:rsidRPr="00015D5B">
        <w:rPr>
          <w:rFonts w:ascii="Verdana" w:hAnsi="Verdana"/>
          <w:i/>
          <w:color w:val="0070C0"/>
          <w:sz w:val="20"/>
          <w:szCs w:val="20"/>
          <w:shd w:val="clear" w:color="auto" w:fill="FFFFFF"/>
        </w:rPr>
        <w:t>"Also, once we forgive the remaining balance on your home equity account, we will report to the major credit bureaus that your account was paid and closed".</w:t>
      </w:r>
    </w:p>
    <w:p w:rsidR="00015D5B" w:rsidRDefault="00015D5B" w:rsidP="00015D5B">
      <w:pPr>
        <w:rPr>
          <w:b/>
        </w:rPr>
      </w:pPr>
      <w:r w:rsidRPr="00015D5B">
        <w:rPr>
          <w:b/>
        </w:rPr>
        <w:t>RISK</w:t>
      </w:r>
      <w:r>
        <w:rPr>
          <w:b/>
        </w:rPr>
        <w:t>S</w:t>
      </w:r>
      <w:r w:rsidR="006D2C9B">
        <w:rPr>
          <w:b/>
        </w:rPr>
        <w:t xml:space="preserve"> AND CHALLENGES</w:t>
      </w:r>
      <w:r>
        <w:rPr>
          <w:b/>
        </w:rPr>
        <w:t xml:space="preserve"> </w:t>
      </w:r>
      <w:r w:rsidR="006D2C9B">
        <w:rPr>
          <w:b/>
        </w:rPr>
        <w:t>FOR TITLE AND ESCROW:</w:t>
      </w:r>
      <w:r w:rsidR="00F067B2">
        <w:rPr>
          <w:b/>
        </w:rPr>
        <w:t xml:space="preserve"> WFG</w:t>
      </w:r>
      <w:r w:rsidR="006D2C9B">
        <w:rPr>
          <w:b/>
        </w:rPr>
        <w:t xml:space="preserve"> POLICY</w:t>
      </w:r>
    </w:p>
    <w:p w:rsidR="00015D5B" w:rsidRPr="004D4169" w:rsidRDefault="00015D5B" w:rsidP="00015D5B">
      <w:pPr>
        <w:pStyle w:val="ListParagraph"/>
        <w:numPr>
          <w:ilvl w:val="0"/>
          <w:numId w:val="1"/>
        </w:numPr>
      </w:pPr>
      <w:r>
        <w:rPr>
          <w:b/>
        </w:rPr>
        <w:t xml:space="preserve">The bank’s letter does not discuss </w:t>
      </w:r>
      <w:proofErr w:type="spellStart"/>
      <w:r>
        <w:rPr>
          <w:b/>
        </w:rPr>
        <w:t>reconvey</w:t>
      </w:r>
      <w:r w:rsidR="00F067B2">
        <w:rPr>
          <w:b/>
        </w:rPr>
        <w:t>ance</w:t>
      </w:r>
      <w:proofErr w:type="spellEnd"/>
      <w:r w:rsidR="00F067B2">
        <w:rPr>
          <w:b/>
        </w:rPr>
        <w:t xml:space="preserve"> of the deed of trust</w:t>
      </w:r>
      <w:r w:rsidR="00F067B2" w:rsidRPr="004D4169">
        <w:t>.  Wi</w:t>
      </w:r>
      <w:r w:rsidRPr="004D4169">
        <w:t xml:space="preserve">thout a </w:t>
      </w:r>
      <w:proofErr w:type="spellStart"/>
      <w:r w:rsidRPr="004D4169">
        <w:t>reconveyance</w:t>
      </w:r>
      <w:proofErr w:type="spellEnd"/>
      <w:proofErr w:type="gramStart"/>
      <w:r w:rsidRPr="004D4169">
        <w:t>,  the</w:t>
      </w:r>
      <w:proofErr w:type="gramEnd"/>
      <w:r w:rsidRPr="004D4169">
        <w:t xml:space="preserve"> lien remains</w:t>
      </w:r>
      <w:r w:rsidR="006D2C9B" w:rsidRPr="004D4169">
        <w:t xml:space="preserve"> of record</w:t>
      </w:r>
      <w:r w:rsidRPr="004D4169">
        <w:t xml:space="preserve">  and will be, at minimum, a cloud on title</w:t>
      </w:r>
      <w:r w:rsidR="006D2C9B" w:rsidRPr="004D4169">
        <w:t xml:space="preserve">. </w:t>
      </w:r>
    </w:p>
    <w:p w:rsidR="006D2C9B" w:rsidRPr="004D4169" w:rsidRDefault="006D2C9B" w:rsidP="006D2C9B">
      <w:pPr>
        <w:pStyle w:val="ListParagraph"/>
      </w:pPr>
    </w:p>
    <w:p w:rsidR="00015D5B" w:rsidRDefault="00015D5B" w:rsidP="004D4169">
      <w:pPr>
        <w:pStyle w:val="ListParagraph"/>
        <w:numPr>
          <w:ilvl w:val="0"/>
          <w:numId w:val="1"/>
        </w:numPr>
      </w:pPr>
      <w:r>
        <w:rPr>
          <w:b/>
        </w:rPr>
        <w:t xml:space="preserve">The bank’s letters are </w:t>
      </w:r>
      <w:r w:rsidRPr="006D2C9B">
        <w:rPr>
          <w:b/>
          <w:u w:val="single"/>
        </w:rPr>
        <w:t>offers</w:t>
      </w:r>
      <w:r>
        <w:rPr>
          <w:b/>
        </w:rPr>
        <w:t xml:space="preserve">, and no more than offers.  </w:t>
      </w:r>
      <w:r w:rsidRPr="004D4169">
        <w:t xml:space="preserve">A borrower may bring us the bank’s offer, but </w:t>
      </w:r>
      <w:r w:rsidR="00F067B2" w:rsidRPr="004D4169">
        <w:t>decid</w:t>
      </w:r>
      <w:r w:rsidR="00B97D5D" w:rsidRPr="004D4169">
        <w:t xml:space="preserve">e NOT to accept the offer.  </w:t>
      </w:r>
      <w:r w:rsidRPr="004D4169">
        <w:t xml:space="preserve"> </w:t>
      </w:r>
      <w:r w:rsidR="00F067B2">
        <w:t>(R</w:t>
      </w:r>
      <w:r>
        <w:t xml:space="preserve">easons </w:t>
      </w:r>
      <w:r w:rsidR="00F067B2">
        <w:t>for opting out</w:t>
      </w:r>
      <w:r>
        <w:t xml:space="preserve"> might include </w:t>
      </w:r>
      <w:r w:rsidR="006D2C9B">
        <w:t xml:space="preserve">such </w:t>
      </w:r>
      <w:r>
        <w:t>things as concerns about taxable debt relief</w:t>
      </w:r>
      <w:r w:rsidRPr="00015D5B">
        <w:t xml:space="preserve"> or in or</w:t>
      </w:r>
      <w:r>
        <w:t>der to keep a credit line open.)</w:t>
      </w:r>
    </w:p>
    <w:p w:rsidR="006D2C9B" w:rsidRDefault="006D2C9B" w:rsidP="006D2C9B">
      <w:pPr>
        <w:pStyle w:val="ListParagraph"/>
      </w:pPr>
    </w:p>
    <w:p w:rsidR="009C7CC0" w:rsidRPr="005C4EE6" w:rsidRDefault="00015D5B" w:rsidP="00015D5B">
      <w:pPr>
        <w:pStyle w:val="ListParagraph"/>
        <w:numPr>
          <w:ilvl w:val="0"/>
          <w:numId w:val="1"/>
        </w:numPr>
      </w:pPr>
      <w:r w:rsidRPr="00015D5B">
        <w:rPr>
          <w:b/>
        </w:rPr>
        <w:t>A supposed bank letter might not be authentic</w:t>
      </w:r>
      <w:r w:rsidR="006D2C9B">
        <w:rPr>
          <w:b/>
        </w:rPr>
        <w:t>, but</w:t>
      </w:r>
      <w:r w:rsidRPr="00015D5B">
        <w:rPr>
          <w:b/>
        </w:rPr>
        <w:t xml:space="preserve"> a </w:t>
      </w:r>
      <w:r w:rsidR="006D2C9B">
        <w:rPr>
          <w:b/>
        </w:rPr>
        <w:t xml:space="preserve">phony instead, presented by a </w:t>
      </w:r>
      <w:r w:rsidRPr="00015D5B">
        <w:rPr>
          <w:b/>
        </w:rPr>
        <w:t>scammer</w:t>
      </w:r>
      <w:r>
        <w:rPr>
          <w:b/>
        </w:rPr>
        <w:t>.</w:t>
      </w:r>
    </w:p>
    <w:p w:rsidR="00B97D5D" w:rsidRDefault="005C4EE6" w:rsidP="005C4EE6">
      <w:pPr>
        <w:ind w:left="360"/>
      </w:pPr>
      <w:r w:rsidRPr="005C4EE6">
        <w:rPr>
          <w:b/>
          <w:sz w:val="28"/>
          <w:szCs w:val="28"/>
        </w:rPr>
        <w:t>WFG POLICY</w:t>
      </w:r>
      <w:r>
        <w:rPr>
          <w:rFonts w:ascii="Cooper Black" w:hAnsi="Cooper Black"/>
        </w:rPr>
        <w:t xml:space="preserve">: </w:t>
      </w:r>
      <w:r>
        <w:t xml:space="preserve"> </w:t>
      </w:r>
    </w:p>
    <w:p w:rsidR="00B97D5D" w:rsidRDefault="00B97D5D" w:rsidP="005C4EE6">
      <w:pPr>
        <w:ind w:left="360"/>
      </w:pPr>
      <w:r>
        <w:t xml:space="preserve">a. </w:t>
      </w:r>
      <w:r w:rsidR="005C4EE6">
        <w:t xml:space="preserve">To limit exposure on risks 1, 2, &amp; 3 escrow is to contact the lender and </w:t>
      </w:r>
      <w:r w:rsidR="005C4EE6" w:rsidRPr="004D4169">
        <w:rPr>
          <w:u w:val="single"/>
        </w:rPr>
        <w:t xml:space="preserve">document </w:t>
      </w:r>
      <w:r w:rsidR="005C4EE6">
        <w:t>that the lender is indeed offering t</w:t>
      </w:r>
      <w:r w:rsidR="00F067B2">
        <w:t xml:space="preserve">o fully forgive the identified </w:t>
      </w:r>
      <w:r w:rsidR="005C4EE6">
        <w:t>loan, that bank record</w:t>
      </w:r>
      <w:r w:rsidR="00F067B2">
        <w:t>s</w:t>
      </w:r>
      <w:r>
        <w:t xml:space="preserve"> show the borrower has agreed to be part of the</w:t>
      </w:r>
      <w:r w:rsidR="005C4EE6">
        <w:t xml:space="preserve"> debt for</w:t>
      </w:r>
      <w:r>
        <w:t>giveness program</w:t>
      </w:r>
      <w:r w:rsidR="00F067B2">
        <w:t xml:space="preserve">, </w:t>
      </w:r>
      <w:r w:rsidR="005C4EE6">
        <w:t xml:space="preserve">and to arrange for a request for </w:t>
      </w:r>
      <w:proofErr w:type="spellStart"/>
      <w:r w:rsidR="005C4EE6">
        <w:t>reconveyance</w:t>
      </w:r>
      <w:proofErr w:type="spellEnd"/>
      <w:r w:rsidR="005C4EE6">
        <w:t xml:space="preserve"> of any deed of trust we will be asked to remove as an exception form title policies to be issued.   </w:t>
      </w:r>
      <w:r w:rsidR="004D4169">
        <w:t xml:space="preserve">We do want that request for </w:t>
      </w:r>
      <w:proofErr w:type="spellStart"/>
      <w:r w:rsidR="004D4169">
        <w:t>reconveyance</w:t>
      </w:r>
      <w:proofErr w:type="spellEnd"/>
      <w:r w:rsidR="004D4169">
        <w:t xml:space="preserve"> in hand at the time of closing.</w:t>
      </w:r>
    </w:p>
    <w:p w:rsidR="00D53D37" w:rsidRDefault="00B97D5D" w:rsidP="00D53D37">
      <w:pPr>
        <w:ind w:left="360"/>
      </w:pPr>
      <w:r>
        <w:t>b. To limit risk of fraud, t</w:t>
      </w:r>
      <w:r w:rsidR="005C4EE6">
        <w:t xml:space="preserve">he lender contact should be </w:t>
      </w:r>
      <w:r w:rsidR="005C4EE6" w:rsidRPr="00B97D5D">
        <w:rPr>
          <w:u w:val="single"/>
        </w:rPr>
        <w:t>clearly identifiable</w:t>
      </w:r>
      <w:r w:rsidR="005C4EE6">
        <w:t xml:space="preserve"> as a genuine bank representative who is reached through verifiable bank phone numbers or email addresses.</w:t>
      </w:r>
      <w:r w:rsidR="00D53D37">
        <w:t xml:space="preserve"> The bank documents generated by your inquiry, including the request for </w:t>
      </w:r>
      <w:proofErr w:type="spellStart"/>
      <w:r w:rsidR="00D53D37">
        <w:t>reconveyance</w:t>
      </w:r>
      <w:proofErr w:type="spellEnd"/>
      <w:r w:rsidR="00D53D37">
        <w:t>, should keep us safe from scammers.</w:t>
      </w:r>
    </w:p>
    <w:p w:rsidR="00B97D5D" w:rsidRPr="005C4EE6" w:rsidRDefault="00B97D5D" w:rsidP="005C4EE6">
      <w:pPr>
        <w:ind w:left="360"/>
        <w:rPr>
          <w:rFonts w:ascii="Cooper Black" w:hAnsi="Cooper Black"/>
        </w:rPr>
      </w:pPr>
      <w:r>
        <w:t xml:space="preserve">c. Obtain </w:t>
      </w:r>
      <w:r w:rsidRPr="00B97D5D">
        <w:rPr>
          <w:u w:val="single"/>
        </w:rPr>
        <w:t>written escrow instructions</w:t>
      </w:r>
      <w:r>
        <w:t xml:space="preserve"> from the borrower, so we can </w:t>
      </w:r>
      <w:r w:rsidRPr="00B97D5D">
        <w:rPr>
          <w:u w:val="single"/>
        </w:rPr>
        <w:t>document</w:t>
      </w:r>
      <w:r>
        <w:t xml:space="preserve"> their directives that a loan be cancelled and the trust deed securing it be </w:t>
      </w:r>
      <w:proofErr w:type="spellStart"/>
      <w:r>
        <w:t>reconveyed</w:t>
      </w:r>
      <w:proofErr w:type="spellEnd"/>
      <w:r>
        <w:t>.  WFG’s form instruction is attached.</w:t>
      </w:r>
    </w:p>
    <w:p w:rsidR="006D2C9B" w:rsidRDefault="006D2C9B" w:rsidP="00015D5B">
      <w:pPr>
        <w:pStyle w:val="ListParagraph"/>
        <w:numPr>
          <w:ilvl w:val="0"/>
          <w:numId w:val="1"/>
        </w:numPr>
      </w:pPr>
      <w:r>
        <w:rPr>
          <w:b/>
        </w:rPr>
        <w:t>The borrowers may be thrilled about the debt relief</w:t>
      </w:r>
      <w:r w:rsidR="00F067B2">
        <w:rPr>
          <w:b/>
        </w:rPr>
        <w:t>,</w:t>
      </w:r>
      <w:r>
        <w:rPr>
          <w:b/>
        </w:rPr>
        <w:t xml:space="preserve"> but have excellent question</w:t>
      </w:r>
      <w:r w:rsidR="004D4169">
        <w:rPr>
          <w:b/>
        </w:rPr>
        <w:t>s</w:t>
      </w:r>
      <w:r>
        <w:rPr>
          <w:b/>
        </w:rPr>
        <w:t xml:space="preserve"> regarding </w:t>
      </w:r>
      <w:r w:rsidR="004D4169">
        <w:rPr>
          <w:b/>
        </w:rPr>
        <w:t xml:space="preserve">the program, its impact on their credit rating, or </w:t>
      </w:r>
      <w:r>
        <w:rPr>
          <w:b/>
        </w:rPr>
        <w:t>their responsibilities to the IRS.</w:t>
      </w:r>
    </w:p>
    <w:p w:rsidR="006D2C9B" w:rsidRPr="005C4EE6" w:rsidRDefault="005C4EE6" w:rsidP="005C4EE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WFG POLICY:  </w:t>
      </w:r>
      <w:r>
        <w:t>R</w:t>
      </w:r>
      <w:r w:rsidRPr="005C4EE6">
        <w:t>emember that WFG</w:t>
      </w:r>
      <w:r w:rsidR="00F067B2">
        <w:t xml:space="preserve"> is merely a neutral escrow agent who cannot give legal or tax advice. </w:t>
      </w:r>
      <w:r w:rsidR="00B97D5D">
        <w:t xml:space="preserve"> I </w:t>
      </w:r>
      <w:r w:rsidR="00B97D5D" w:rsidRPr="004D4169">
        <w:t>am</w:t>
      </w:r>
      <w:r w:rsidR="00B97D5D">
        <w:t xml:space="preserve"> seeing a discussion of the tax implications of the forgiveness program on the debt relief offer </w:t>
      </w:r>
      <w:proofErr w:type="gramStart"/>
      <w:r w:rsidR="00B97D5D">
        <w:t xml:space="preserve">letters </w:t>
      </w:r>
      <w:r w:rsidR="00FB4B19">
        <w:t xml:space="preserve"> themselves</w:t>
      </w:r>
      <w:proofErr w:type="gramEnd"/>
      <w:r w:rsidR="00FB4B19">
        <w:t xml:space="preserve">  </w:t>
      </w:r>
      <w:r w:rsidR="00B97D5D">
        <w:t>and on</w:t>
      </w:r>
      <w:r w:rsidR="00FB4B19">
        <w:t xml:space="preserve"> lender</w:t>
      </w:r>
      <w:r w:rsidR="00B97D5D">
        <w:t xml:space="preserve"> web-sites, often under FAQ </w:t>
      </w:r>
      <w:r w:rsidR="00FB4B19">
        <w:t xml:space="preserve"> </w:t>
      </w:r>
      <w:r w:rsidR="00B97D5D">
        <w:t>headings</w:t>
      </w:r>
      <w:r w:rsidR="004D4169">
        <w:t xml:space="preserve">, and it is fine to refer borrowers to those basic informational resources.  </w:t>
      </w:r>
    </w:p>
    <w:p w:rsidR="006D2C9B" w:rsidRPr="006D2C9B" w:rsidRDefault="006D2C9B" w:rsidP="009C7CC0">
      <w:pPr>
        <w:rPr>
          <w:b/>
        </w:rPr>
      </w:pPr>
    </w:p>
    <w:sectPr w:rsidR="006D2C9B" w:rsidRPr="006D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556"/>
    <w:multiLevelType w:val="hybridMultilevel"/>
    <w:tmpl w:val="DF8C90E0"/>
    <w:lvl w:ilvl="0" w:tplc="6F62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1DED"/>
    <w:multiLevelType w:val="hybridMultilevel"/>
    <w:tmpl w:val="4FDA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7B"/>
    <w:rsid w:val="00015D5B"/>
    <w:rsid w:val="002411D3"/>
    <w:rsid w:val="004D4169"/>
    <w:rsid w:val="005A1607"/>
    <w:rsid w:val="005C4EE6"/>
    <w:rsid w:val="006779FB"/>
    <w:rsid w:val="0068287B"/>
    <w:rsid w:val="006D2C9B"/>
    <w:rsid w:val="00891FF0"/>
    <w:rsid w:val="008973C8"/>
    <w:rsid w:val="009C7CC0"/>
    <w:rsid w:val="009D7833"/>
    <w:rsid w:val="00AB1F77"/>
    <w:rsid w:val="00B015FA"/>
    <w:rsid w:val="00B97D5D"/>
    <w:rsid w:val="00C03F6A"/>
    <w:rsid w:val="00D53D37"/>
    <w:rsid w:val="00F067B2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C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7CC0"/>
  </w:style>
  <w:style w:type="character" w:styleId="Hyperlink">
    <w:name w:val="Hyperlink"/>
    <w:basedOn w:val="DefaultParagraphFont"/>
    <w:uiPriority w:val="99"/>
    <w:semiHidden/>
    <w:unhideWhenUsed/>
    <w:rsid w:val="009C7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C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7CC0"/>
  </w:style>
  <w:style w:type="character" w:styleId="Hyperlink">
    <w:name w:val="Hyperlink"/>
    <w:basedOn w:val="DefaultParagraphFont"/>
    <w:uiPriority w:val="99"/>
    <w:semiHidden/>
    <w:unhideWhenUsed/>
    <w:rsid w:val="009C7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Thuemmel</dc:creator>
  <cp:lastModifiedBy>Mary Thuemmel</cp:lastModifiedBy>
  <cp:revision>3</cp:revision>
  <dcterms:created xsi:type="dcterms:W3CDTF">2013-04-03T20:56:00Z</dcterms:created>
  <dcterms:modified xsi:type="dcterms:W3CDTF">2013-04-03T21:15:00Z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gFAA5ajW4yTOEjtLWfKTFqYTMJ2tACnBtSh4WeFdUFGZ0v7JpnMf/r+0dzyKchx++kSsnrbyBlWrDUqA
Xy+J2YGMYJP6X44qQ3rbSeGb9xOikQP23R2MxG0xSmEYmo3tjXHcQ8gfwrf5VmuAXy+J2YGMYJP6
X44qQ3rbSeGb9xOikQP23R2MxG0xSqgQOK7g5OturhLNqZchXeCoVJdCLXJbp1A1M/lO5Ahwt5HF
XwvuHnofwVNa/sHNo</vt:lpwstr>
  </property>
  <property fmtid="{D5CDD505-2E9C-101B-9397-08002B2CF9AE}" pid="4" name="MAIL_MSG_ID2">
    <vt:lpwstr>3CRHXA1jt+BGS5Cl5sHPps3RK48z6RZz2nrzKlQacRG59D708N6zPDBzfmD
UzcDxTdjhnZn9DyiJ3X7xkAmvuJISi+5jyWuew==</vt:lpwstr>
  </property>
  <property fmtid="{D5CDD505-2E9C-101B-9397-08002B2CF9AE}" pid="5" name="RESPONSE_SENDER_NAME">
    <vt:lpwstr>sAAA4E8dREqJqIr40kBnxiSHFB8ejM5Yg1qbnoG91UoGBTc=</vt:lpwstr>
  </property>
  <property fmtid="{D5CDD505-2E9C-101B-9397-08002B2CF9AE}" pid="6" name="EMAIL_OWNER_ADDRESS">
    <vt:lpwstr>ABAAgoCixPcRe8lKc0rHmozXwRaoC9lK/TWUsebiQ1mOmuqoHBoO50HrEvhNn2/UbAqs</vt:lpwstr>
  </property>
</Properties>
</file>